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CDAEB" w14:textId="68EBA055" w:rsidR="00843CD8" w:rsidRDefault="00843CD8" w:rsidP="00B349DA">
      <w:pPr>
        <w:pStyle w:val="NoSpacing"/>
      </w:pPr>
    </w:p>
    <w:p w14:paraId="75001600" w14:textId="77777777" w:rsidR="00B349DA" w:rsidRDefault="00B349DA" w:rsidP="00B349DA">
      <w:pPr>
        <w:pStyle w:val="NoSpacing"/>
      </w:pPr>
    </w:p>
    <w:tbl>
      <w:tblPr>
        <w:tblW w:w="5000" w:type="pct"/>
        <w:jc w:val="center"/>
        <w:tblCellMar>
          <w:left w:w="0" w:type="dxa"/>
          <w:right w:w="0" w:type="dxa"/>
        </w:tblCellMar>
        <w:tblLook w:val="04A0" w:firstRow="1" w:lastRow="0" w:firstColumn="1" w:lastColumn="0" w:noHBand="0" w:noVBand="1"/>
      </w:tblPr>
      <w:tblGrid>
        <w:gridCol w:w="9360"/>
      </w:tblGrid>
      <w:tr w:rsidR="00B349DA" w:rsidRPr="00B349DA" w14:paraId="0CF15D35" w14:textId="77777777" w:rsidTr="00B349DA">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B349DA" w:rsidRPr="00B349DA" w14:paraId="7427DB6E"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B349DA" w:rsidRPr="00B349DA" w14:paraId="3E6EB367" w14:textId="77777777">
                    <w:tc>
                      <w:tcPr>
                        <w:tcW w:w="0" w:type="auto"/>
                        <w:hideMark/>
                      </w:tcPr>
                      <w:p w14:paraId="0FD37651" w14:textId="23D21107" w:rsidR="00B349DA" w:rsidRPr="00B349DA" w:rsidRDefault="00B349DA" w:rsidP="00B349DA">
                        <w:pPr>
                          <w:pStyle w:val="NoSpacing"/>
                        </w:pPr>
                        <w:r w:rsidRPr="00B349DA">
                          <w:drawing>
                            <wp:inline distT="0" distB="0" distL="0" distR="0" wp14:anchorId="59C8145D" wp14:editId="247E7EC5">
                              <wp:extent cx="5695950" cy="2990850"/>
                              <wp:effectExtent l="0" t="0" r="0" b="0"/>
                              <wp:docPr id="7210636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695950" cy="2990850"/>
                                      </a:xfrm>
                                      <a:prstGeom prst="rect">
                                        <a:avLst/>
                                      </a:prstGeom>
                                      <a:noFill/>
                                      <a:ln>
                                        <a:noFill/>
                                      </a:ln>
                                    </pic:spPr>
                                  </pic:pic>
                                </a:graphicData>
                              </a:graphic>
                            </wp:inline>
                          </w:drawing>
                        </w:r>
                      </w:p>
                    </w:tc>
                  </w:tr>
                </w:tbl>
                <w:p w14:paraId="37E5562D" w14:textId="77777777" w:rsidR="00B349DA" w:rsidRPr="00B349DA" w:rsidRDefault="00B349DA" w:rsidP="00B349DA">
                  <w:pPr>
                    <w:pStyle w:val="NoSpacing"/>
                  </w:pPr>
                </w:p>
              </w:tc>
            </w:tr>
            <w:tr w:rsidR="00B349DA" w:rsidRPr="00B349DA" w14:paraId="30A5520D"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9354"/>
                  </w:tblGrid>
                  <w:tr w:rsidR="00B349DA" w:rsidRPr="00B349DA" w14:paraId="714CA2DC" w14:textId="77777777">
                    <w:trPr>
                      <w:jc w:val="center"/>
                    </w:trPr>
                    <w:tc>
                      <w:tcPr>
                        <w:tcW w:w="0" w:type="auto"/>
                        <w:hideMark/>
                      </w:tcPr>
                      <w:p w14:paraId="3819F80F" w14:textId="77777777" w:rsidR="00B349DA" w:rsidRPr="00B349DA" w:rsidRDefault="00B349DA" w:rsidP="00B349DA">
                        <w:pPr>
                          <w:pStyle w:val="NoSpacing"/>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54"/>
                        </w:tblGrid>
                        <w:tr w:rsidR="00B349DA" w:rsidRPr="00B349DA" w14:paraId="6AABECC1" w14:textId="77777777">
                          <w:trPr>
                            <w:trHeight w:val="4995"/>
                          </w:trPr>
                          <w:tc>
                            <w:tcPr>
                              <w:tcW w:w="0" w:type="auto"/>
                              <w:tcMar>
                                <w:top w:w="135" w:type="dxa"/>
                                <w:left w:w="270" w:type="dxa"/>
                                <w:bottom w:w="135" w:type="dxa"/>
                                <w:right w:w="270" w:type="dxa"/>
                              </w:tcMar>
                              <w:vAlign w:val="center"/>
                            </w:tcPr>
                            <w:p w14:paraId="574E1CE8" w14:textId="77777777" w:rsidR="00B349DA" w:rsidRPr="00B349DA" w:rsidRDefault="00B349DA" w:rsidP="00B349DA">
                              <w:pPr>
                                <w:pStyle w:val="NoSpacing"/>
                              </w:pPr>
                            </w:p>
                            <w:tbl>
                              <w:tblPr>
                                <w:tblW w:w="5000" w:type="pct"/>
                                <w:tblCellMar>
                                  <w:left w:w="0" w:type="dxa"/>
                                  <w:right w:w="0" w:type="dxa"/>
                                </w:tblCellMar>
                                <w:tblLook w:val="04A0" w:firstRow="1" w:lastRow="0" w:firstColumn="1" w:lastColumn="0" w:noHBand="0" w:noVBand="1"/>
                              </w:tblPr>
                              <w:tblGrid>
                                <w:gridCol w:w="8814"/>
                              </w:tblGrid>
                              <w:tr w:rsidR="00B349DA" w:rsidRPr="00B349DA" w14:paraId="1316DAA0" w14:textId="77777777">
                                <w:trPr>
                                  <w:trHeight w:val="4707"/>
                                </w:trPr>
                                <w:tc>
                                  <w:tcPr>
                                    <w:tcW w:w="0" w:type="auto"/>
                                    <w:tcMar>
                                      <w:top w:w="270" w:type="dxa"/>
                                      <w:left w:w="270" w:type="dxa"/>
                                      <w:bottom w:w="270" w:type="dxa"/>
                                      <w:right w:w="270" w:type="dxa"/>
                                    </w:tcMar>
                                  </w:tcPr>
                                  <w:p w14:paraId="6AB7D8BB" w14:textId="77777777" w:rsidR="00B349DA" w:rsidRPr="00B349DA" w:rsidRDefault="00B349DA" w:rsidP="00B349DA">
                                    <w:pPr>
                                      <w:pStyle w:val="NoSpacing"/>
                                      <w:rPr>
                                        <w:b/>
                                        <w:bCs/>
                                      </w:rPr>
                                    </w:pPr>
                                    <w:r w:rsidRPr="00B349DA">
                                      <w:rPr>
                                        <w:b/>
                                        <w:bCs/>
                                      </w:rPr>
                                      <w:t>Important Reminder:</w:t>
                                    </w:r>
                                  </w:p>
                                  <w:p w14:paraId="2A025FB7" w14:textId="77777777" w:rsidR="00B349DA" w:rsidRPr="00B349DA" w:rsidRDefault="00B349DA" w:rsidP="00B349DA">
                                    <w:pPr>
                                      <w:pStyle w:val="NoSpacing"/>
                                      <w:rPr>
                                        <w:b/>
                                        <w:bCs/>
                                      </w:rPr>
                                    </w:pPr>
                                    <w:r w:rsidRPr="00B349DA">
                                      <w:rPr>
                                        <w:b/>
                                        <w:bCs/>
                                      </w:rPr>
                                      <w:t xml:space="preserve">Proper Use of ACC SEP (Accessible Format Delay) </w:t>
                                    </w:r>
                                  </w:p>
                                  <w:p w14:paraId="381ECAE5" w14:textId="77777777" w:rsidR="00B349DA" w:rsidRPr="00B349DA" w:rsidRDefault="00B349DA" w:rsidP="00B349DA">
                                    <w:pPr>
                                      <w:pStyle w:val="NoSpacing"/>
                                    </w:pPr>
                                  </w:p>
                                  <w:p w14:paraId="105A7DC0" w14:textId="77777777" w:rsidR="00B349DA" w:rsidRPr="00B349DA" w:rsidRDefault="00B349DA" w:rsidP="00B349DA">
                                    <w:pPr>
                                      <w:pStyle w:val="NoSpacing"/>
                                      <w:rPr>
                                        <w:b/>
                                        <w:bCs/>
                                      </w:rPr>
                                    </w:pPr>
                                    <w:r w:rsidRPr="00B349DA">
                                      <w:rPr>
                                        <w:b/>
                                        <w:bCs/>
                                      </w:rPr>
                                      <w:t>CMS Reference: 42 CFR 422.62(b)(17) | Effective: January 1, 2021</w:t>
                                    </w:r>
                                  </w:p>
                                  <w:p w14:paraId="7A96D7F5" w14:textId="77777777" w:rsidR="00B349DA" w:rsidRPr="00B349DA" w:rsidRDefault="00B349DA" w:rsidP="00B349DA">
                                    <w:pPr>
                                      <w:pStyle w:val="NoSpacing"/>
                                    </w:pPr>
                                  </w:p>
                                  <w:p w14:paraId="07E7CE77" w14:textId="77777777" w:rsidR="00B349DA" w:rsidRPr="00B349DA" w:rsidRDefault="00B349DA" w:rsidP="00B349DA">
                                    <w:pPr>
                                      <w:pStyle w:val="NoSpacing"/>
                                    </w:pPr>
                                    <w:r w:rsidRPr="00B349DA">
                                      <w:t xml:space="preserve">As outlined in Section 504 of the Rehabilitation Act of 1973, all </w:t>
                                    </w:r>
                                    <w:r w:rsidRPr="00B349DA">
                                      <w:rPr>
                                        <w:b/>
                                        <w:bCs/>
                                      </w:rPr>
                                      <w:t>organizations</w:t>
                                    </w:r>
                                    <w:r w:rsidRPr="00B349DA">
                                      <w:t xml:space="preserve"> (i.e., plan sponsors and other CMS-contracted entities) must provide the required materials to beneficiaries in accessible formats, such as Braille, audio, large print, or other approved alternatives, if appropriate.</w:t>
                                    </w:r>
                                  </w:p>
                                  <w:p w14:paraId="62E85377" w14:textId="77777777" w:rsidR="00B349DA" w:rsidRPr="00B349DA" w:rsidRDefault="00B349DA" w:rsidP="00B349DA">
                                    <w:pPr>
                                      <w:pStyle w:val="NoSpacing"/>
                                    </w:pPr>
                                  </w:p>
                                  <w:p w14:paraId="05D6EAD4" w14:textId="77777777" w:rsidR="00B349DA" w:rsidRPr="00B349DA" w:rsidRDefault="00B349DA" w:rsidP="00B349DA">
                                    <w:pPr>
                                      <w:pStyle w:val="NoSpacing"/>
                                    </w:pPr>
                                    <w:r w:rsidRPr="00B349DA">
                                      <w:t xml:space="preserve">CMS established a Special Enrollment Period (SEP) to protect individuals who </w:t>
                                    </w:r>
                                    <w:r w:rsidRPr="00B349DA">
                                      <w:rPr>
                                        <w:b/>
                                        <w:bCs/>
                                      </w:rPr>
                                      <w:t>missed a valid election period</w:t>
                                    </w:r>
                                    <w:r w:rsidRPr="00B349DA">
                                      <w:t xml:space="preserve"> because they requested materials in an accessible format, but did not receive them in the same timeframe as those who received standard formats. This SEP, commonly referred to as the </w:t>
                                    </w:r>
                                    <w:r w:rsidRPr="00B349DA">
                                      <w:rPr>
                                        <w:b/>
                                        <w:bCs/>
                                      </w:rPr>
                                      <w:t>ACC SEP</w:t>
                                    </w:r>
                                    <w:r w:rsidRPr="00B349DA">
                                      <w:t>, ensures those individuals are given adequate time to make an enrollment decision once the delayed information is received in the appropriate format.</w:t>
                                    </w:r>
                                  </w:p>
                                  <w:p w14:paraId="20FB7E64" w14:textId="77777777" w:rsidR="00B349DA" w:rsidRPr="00B349DA" w:rsidRDefault="00B349DA" w:rsidP="00B349DA">
                                    <w:pPr>
                                      <w:pStyle w:val="NoSpacing"/>
                                    </w:pPr>
                                  </w:p>
                                  <w:p w14:paraId="6B2C7EB8" w14:textId="77777777" w:rsidR="00B349DA" w:rsidRPr="00B349DA" w:rsidRDefault="00B349DA" w:rsidP="00B349DA">
                                    <w:pPr>
                                      <w:pStyle w:val="NoSpacing"/>
                                      <w:rPr>
                                        <w:b/>
                                        <w:bCs/>
                                      </w:rPr>
                                    </w:pPr>
                                    <w:r w:rsidRPr="00B349DA">
                                      <w:rPr>
                                        <w:b/>
                                        <w:bCs/>
                                      </w:rPr>
                                      <w:t>What Agents Need to Know:</w:t>
                                    </w:r>
                                  </w:p>
                                  <w:p w14:paraId="2506421F" w14:textId="77777777" w:rsidR="00B349DA" w:rsidRPr="00B349DA" w:rsidRDefault="00B349DA" w:rsidP="00B349DA">
                                    <w:pPr>
                                      <w:pStyle w:val="NoSpacing"/>
                                    </w:pPr>
                                  </w:p>
                                  <w:p w14:paraId="7C235AAD" w14:textId="77777777" w:rsidR="00B349DA" w:rsidRPr="00B349DA" w:rsidRDefault="00B349DA" w:rsidP="00B349DA">
                                    <w:pPr>
                                      <w:pStyle w:val="NoSpacing"/>
                                      <w:numPr>
                                        <w:ilvl w:val="0"/>
                                        <w:numId w:val="1"/>
                                      </w:numPr>
                                    </w:pPr>
                                    <w:r w:rsidRPr="00B349DA">
                                      <w:t xml:space="preserve">The ACC SEP </w:t>
                                    </w:r>
                                    <w:r w:rsidRPr="00B349DA">
                                      <w:rPr>
                                        <w:b/>
                                        <w:bCs/>
                                      </w:rPr>
                                      <w:t>may only be used</w:t>
                                    </w:r>
                                    <w:r w:rsidRPr="00B349DA">
                                      <w:t xml:space="preserve"> if a beneficiary:</w:t>
                                    </w:r>
                                  </w:p>
                                  <w:p w14:paraId="735AA09F" w14:textId="77777777" w:rsidR="00B349DA" w:rsidRPr="00B349DA" w:rsidRDefault="00B349DA" w:rsidP="00B349DA">
                                    <w:pPr>
                                      <w:pStyle w:val="NoSpacing"/>
                                      <w:numPr>
                                        <w:ilvl w:val="1"/>
                                        <w:numId w:val="1"/>
                                      </w:numPr>
                                    </w:pPr>
                                    <w:r w:rsidRPr="00B349DA">
                                      <w:t xml:space="preserve">Requested materials in an accessible format </w:t>
                                    </w:r>
                                    <w:r w:rsidRPr="00B349DA">
                                      <w:rPr>
                                        <w:b/>
                                        <w:bCs/>
                                      </w:rPr>
                                      <w:t>during a valid election period</w:t>
                                    </w:r>
                                    <w:r w:rsidRPr="00B349DA">
                                      <w:t xml:space="preserve">, </w:t>
                                    </w:r>
                                    <w:r w:rsidRPr="00B349DA">
                                      <w:rPr>
                                        <w:b/>
                                        <w:bCs/>
                                      </w:rPr>
                                      <w:t>and</w:t>
                                    </w:r>
                                  </w:p>
                                  <w:p w14:paraId="76D0E4AD" w14:textId="77777777" w:rsidR="00B349DA" w:rsidRPr="00B349DA" w:rsidRDefault="00B349DA" w:rsidP="00B349DA">
                                    <w:pPr>
                                      <w:pStyle w:val="NoSpacing"/>
                                      <w:numPr>
                                        <w:ilvl w:val="1"/>
                                        <w:numId w:val="1"/>
                                      </w:numPr>
                                    </w:pPr>
                                    <w:r w:rsidRPr="00B349DA">
                                      <w:lastRenderedPageBreak/>
                                      <w:t xml:space="preserve">Did </w:t>
                                    </w:r>
                                    <w:r w:rsidRPr="00B349DA">
                                      <w:rPr>
                                        <w:b/>
                                        <w:bCs/>
                                      </w:rPr>
                                      <w:t>not receive them in time</w:t>
                                    </w:r>
                                    <w:r w:rsidRPr="00B349DA">
                                      <w:t xml:space="preserve"> to use that election period</w:t>
                                    </w:r>
                                  </w:p>
                                  <w:p w14:paraId="46E1B6DC" w14:textId="77777777" w:rsidR="00B349DA" w:rsidRPr="00B349DA" w:rsidRDefault="00B349DA" w:rsidP="00B349DA">
                                    <w:pPr>
                                      <w:pStyle w:val="NoSpacing"/>
                                      <w:numPr>
                                        <w:ilvl w:val="0"/>
                                        <w:numId w:val="1"/>
                                      </w:numPr>
                                      <w:rPr>
                                        <w:b/>
                                        <w:bCs/>
                                      </w:rPr>
                                    </w:pPr>
                                    <w:r w:rsidRPr="00B349DA">
                                      <w:rPr>
                                        <w:b/>
                                        <w:bCs/>
                                      </w:rPr>
                                      <w:t xml:space="preserve">NOTE: If the consumer did NOT request the accessible format DURING their original election period, the ACC SEP CANNOT be used.  </w:t>
                                    </w:r>
                                  </w:p>
                                  <w:p w14:paraId="5C30F30E" w14:textId="77777777" w:rsidR="00B349DA" w:rsidRPr="00B349DA" w:rsidRDefault="00B349DA" w:rsidP="00B349DA">
                                    <w:pPr>
                                      <w:pStyle w:val="NoSpacing"/>
                                      <w:rPr>
                                        <w:b/>
                                        <w:bCs/>
                                      </w:rPr>
                                    </w:pPr>
                                    <w:r w:rsidRPr="00B349DA">
                                      <w:rPr>
                                        <w:b/>
                                        <w:bCs/>
                                      </w:rPr>
                                      <w:t>Consumers can ONLY use the ACC SEP if they previously requested material in an accessible format DURING their valid election period AND missed their original election period because they did not receive the accessible format material in time to enroll.</w:t>
                                    </w:r>
                                  </w:p>
                                  <w:p w14:paraId="5CE957D2" w14:textId="77777777" w:rsidR="00B349DA" w:rsidRPr="00B349DA" w:rsidRDefault="00B349DA" w:rsidP="00B349DA">
                                    <w:pPr>
                                      <w:pStyle w:val="NoSpacing"/>
                                    </w:pPr>
                                  </w:p>
                                  <w:p w14:paraId="7EDAF72A" w14:textId="77777777" w:rsidR="00B349DA" w:rsidRPr="00B349DA" w:rsidRDefault="00B349DA" w:rsidP="00B349DA">
                                    <w:pPr>
                                      <w:pStyle w:val="NoSpacing"/>
                                      <w:numPr>
                                        <w:ilvl w:val="0"/>
                                        <w:numId w:val="1"/>
                                      </w:numPr>
                                    </w:pPr>
                                    <w:r w:rsidRPr="00B349DA">
                                      <w:t>The SEP begins at the</w:t>
                                    </w:r>
                                    <w:r w:rsidRPr="00B349DA">
                                      <w:rPr>
                                        <w:b/>
                                        <w:bCs/>
                                      </w:rPr>
                                      <w:t xml:space="preserve"> end of the missed election period</w:t>
                                    </w:r>
                                    <w:r w:rsidRPr="00B349DA">
                                      <w:t xml:space="preserve"> and remains open for </w:t>
                                    </w:r>
                                    <w:r w:rsidRPr="00B349DA">
                                      <w:rPr>
                                        <w:b/>
                                        <w:bCs/>
                                      </w:rPr>
                                      <w:t>at least the length</w:t>
                                    </w:r>
                                    <w:r w:rsidRPr="00B349DA">
                                      <w:t xml:space="preserve"> </w:t>
                                    </w:r>
                                    <w:r w:rsidRPr="00B349DA">
                                      <w:rPr>
                                        <w:b/>
                                        <w:bCs/>
                                      </w:rPr>
                                      <w:t>of the delay</w:t>
                                    </w:r>
                                    <w:r w:rsidRPr="00B349DA">
                                      <w:t>, measured from the date the beneficiary requested the accessible materials to the date they were received.</w:t>
                                    </w:r>
                                  </w:p>
                                  <w:p w14:paraId="31490B55" w14:textId="77777777" w:rsidR="00B349DA" w:rsidRPr="00B349DA" w:rsidRDefault="00B349DA" w:rsidP="00B349DA">
                                    <w:pPr>
                                      <w:pStyle w:val="NoSpacing"/>
                                    </w:pPr>
                                  </w:p>
                                  <w:p w14:paraId="5A448622" w14:textId="77777777" w:rsidR="00B349DA" w:rsidRPr="00B349DA" w:rsidRDefault="00B349DA" w:rsidP="00B349DA">
                                    <w:pPr>
                                      <w:pStyle w:val="NoSpacing"/>
                                      <w:numPr>
                                        <w:ilvl w:val="0"/>
                                        <w:numId w:val="1"/>
                                      </w:numPr>
                                    </w:pPr>
                                    <w:r w:rsidRPr="00B349DA">
                                      <w:t xml:space="preserve">Documentation is </w:t>
                                    </w:r>
                                    <w:r w:rsidRPr="00B349DA">
                                      <w:rPr>
                                        <w:b/>
                                        <w:bCs/>
                                      </w:rPr>
                                      <w:t xml:space="preserve">required </w:t>
                                    </w:r>
                                    <w:r w:rsidRPr="00B349DA">
                                      <w:t>and should be maintained by the writing agent, including:</w:t>
                                    </w:r>
                                  </w:p>
                                  <w:p w14:paraId="11DAA06B" w14:textId="77777777" w:rsidR="00B349DA" w:rsidRPr="00B349DA" w:rsidRDefault="00B349DA" w:rsidP="00B349DA">
                                    <w:pPr>
                                      <w:pStyle w:val="NoSpacing"/>
                                      <w:numPr>
                                        <w:ilvl w:val="1"/>
                                        <w:numId w:val="1"/>
                                      </w:numPr>
                                    </w:pPr>
                                    <w:r w:rsidRPr="00B349DA">
                                      <w:t>Proof of the accessible format request</w:t>
                                    </w:r>
                                  </w:p>
                                  <w:p w14:paraId="0B48E917" w14:textId="77777777" w:rsidR="00B349DA" w:rsidRPr="00B349DA" w:rsidRDefault="00B349DA" w:rsidP="00B349DA">
                                    <w:pPr>
                                      <w:pStyle w:val="NoSpacing"/>
                                      <w:numPr>
                                        <w:ilvl w:val="1"/>
                                        <w:numId w:val="1"/>
                                      </w:numPr>
                                    </w:pPr>
                                    <w:r w:rsidRPr="00B349DA">
                                      <w:t>Evidence of the delay (e.g., date standard vs. accessible formats were received)</w:t>
                                    </w:r>
                                  </w:p>
                                  <w:p w14:paraId="0722BE06" w14:textId="77777777" w:rsidR="00B349DA" w:rsidRPr="00B349DA" w:rsidRDefault="00B349DA" w:rsidP="00B349DA">
                                    <w:pPr>
                                      <w:pStyle w:val="NoSpacing"/>
                                      <w:numPr>
                                        <w:ilvl w:val="1"/>
                                        <w:numId w:val="1"/>
                                      </w:numPr>
                                    </w:pPr>
                                    <w:r w:rsidRPr="00B349DA">
                                      <w:t>Identification of the missed election period</w:t>
                                    </w:r>
                                  </w:p>
                                  <w:p w14:paraId="5AE0952A" w14:textId="77777777" w:rsidR="00B349DA" w:rsidRPr="00B349DA" w:rsidRDefault="00B349DA" w:rsidP="00B349DA">
                                    <w:pPr>
                                      <w:pStyle w:val="NoSpacing"/>
                                    </w:pPr>
                                  </w:p>
                                  <w:p w14:paraId="74C753CE" w14:textId="77777777" w:rsidR="00B349DA" w:rsidRPr="00B349DA" w:rsidRDefault="00B349DA" w:rsidP="00B349DA">
                                    <w:pPr>
                                      <w:pStyle w:val="NoSpacing"/>
                                    </w:pPr>
                                    <w:r w:rsidRPr="00B349DA">
                                      <w:t xml:space="preserve">Agents </w:t>
                                    </w:r>
                                    <w:r w:rsidRPr="00B349DA">
                                      <w:rPr>
                                        <w:b/>
                                        <w:bCs/>
                                      </w:rPr>
                                      <w:t>should not</w:t>
                                    </w:r>
                                    <w:r w:rsidRPr="00B349DA">
                                      <w:t xml:space="preserve"> </w:t>
                                    </w:r>
                                    <w:r w:rsidRPr="00B349DA">
                                      <w:rPr>
                                        <w:b/>
                                        <w:bCs/>
                                      </w:rPr>
                                      <w:t>select the ACC SEP unless these conditions are clearly met and documented.</w:t>
                                    </w:r>
                                    <w:r w:rsidRPr="00B349DA">
                                      <w:t xml:space="preserve"> CMS and/or carriers may request supporting documentation at any time.</w:t>
                                    </w:r>
                                  </w:p>
                                  <w:p w14:paraId="1DE70717" w14:textId="77777777" w:rsidR="00B349DA" w:rsidRPr="00B349DA" w:rsidRDefault="00B349DA" w:rsidP="00B349DA">
                                    <w:pPr>
                                      <w:pStyle w:val="NoSpacing"/>
                                    </w:pPr>
                                  </w:p>
                                  <w:p w14:paraId="4307BD92" w14:textId="77777777" w:rsidR="00B349DA" w:rsidRPr="00B349DA" w:rsidRDefault="00B349DA" w:rsidP="00B349DA">
                                    <w:pPr>
                                      <w:pStyle w:val="NoSpacing"/>
                                      <w:rPr>
                                        <w:b/>
                                        <w:bCs/>
                                      </w:rPr>
                                    </w:pPr>
                                    <w:r w:rsidRPr="00B349DA">
                                      <w:rPr>
                                        <w:b/>
                                        <w:bCs/>
                                      </w:rPr>
                                      <w:t>Friendly, but firm reminder:</w:t>
                                    </w:r>
                                  </w:p>
                                  <w:p w14:paraId="1B005711" w14:textId="77777777" w:rsidR="00B349DA" w:rsidRPr="00B349DA" w:rsidRDefault="00B349DA" w:rsidP="00B349DA">
                                    <w:pPr>
                                      <w:pStyle w:val="NoSpacing"/>
                                      <w:rPr>
                                        <w:b/>
                                        <w:bCs/>
                                      </w:rPr>
                                    </w:pPr>
                                  </w:p>
                                  <w:p w14:paraId="7718F686" w14:textId="77777777" w:rsidR="00B349DA" w:rsidRPr="00B349DA" w:rsidRDefault="00B349DA" w:rsidP="00B349DA">
                                    <w:pPr>
                                      <w:pStyle w:val="NoSpacing"/>
                                    </w:pPr>
                                    <w:r w:rsidRPr="00B349DA">
                                      <w:rPr>
                                        <w:b/>
                                        <w:bCs/>
                                      </w:rPr>
                                      <w:t xml:space="preserve">ACC is a code for beneficiary accessibility. It is not to be used </w:t>
                                    </w:r>
                                    <w:proofErr w:type="gramStart"/>
                                    <w:r w:rsidRPr="00B349DA">
                                      <w:rPr>
                                        <w:b/>
                                        <w:bCs/>
                                      </w:rPr>
                                      <w:t>as a way to</w:t>
                                    </w:r>
                                    <w:proofErr w:type="gramEnd"/>
                                    <w:r w:rsidRPr="00B349DA">
                                      <w:rPr>
                                        <w:b/>
                                        <w:bCs/>
                                      </w:rPr>
                                      <w:t xml:space="preserve"> enroll a beneficiary who missed a valid enrollment period.</w:t>
                                    </w:r>
                                  </w:p>
                                  <w:p w14:paraId="13B65A3C" w14:textId="77777777" w:rsidR="00B349DA" w:rsidRPr="00B349DA" w:rsidRDefault="00B349DA" w:rsidP="00B349DA">
                                    <w:pPr>
                                      <w:pStyle w:val="NoSpacing"/>
                                    </w:pPr>
                                    <w:r w:rsidRPr="00B349DA">
                                      <w:t xml:space="preserve">Misuse of any SEP code, including ACC, may result in disciplinary action by the Carrier and/or </w:t>
                                    </w:r>
                                    <w:proofErr w:type="spellStart"/>
                                    <w:r w:rsidRPr="00B349DA">
                                      <w:t>YourPlanChoice</w:t>
                                    </w:r>
                                    <w:proofErr w:type="spellEnd"/>
                                    <w:r w:rsidRPr="00B349DA">
                                      <w:t>, up to and including termination.</w:t>
                                    </w:r>
                                  </w:p>
                                  <w:p w14:paraId="55B06478" w14:textId="77777777" w:rsidR="00B349DA" w:rsidRPr="00B349DA" w:rsidRDefault="00B349DA" w:rsidP="00B349DA">
                                    <w:pPr>
                                      <w:pStyle w:val="NoSpacing"/>
                                    </w:pPr>
                                  </w:p>
                                  <w:p w14:paraId="6B0B4408" w14:textId="77777777" w:rsidR="00B349DA" w:rsidRPr="00B349DA" w:rsidRDefault="00B349DA" w:rsidP="00B349DA">
                                    <w:pPr>
                                      <w:pStyle w:val="NoSpacing"/>
                                    </w:pPr>
                                  </w:p>
                                  <w:p w14:paraId="2A3DCB16" w14:textId="77777777" w:rsidR="00B349DA" w:rsidRPr="00B349DA" w:rsidRDefault="00B349DA" w:rsidP="00B349DA">
                                    <w:pPr>
                                      <w:pStyle w:val="NoSpacing"/>
                                    </w:pPr>
                                  </w:p>
                                  <w:p w14:paraId="1FA4DF4A" w14:textId="77777777" w:rsidR="00B349DA" w:rsidRPr="00B349DA" w:rsidRDefault="00B349DA" w:rsidP="00B349DA">
                                    <w:pPr>
                                      <w:pStyle w:val="NoSpacing"/>
                                      <w:rPr>
                                        <w:b/>
                                        <w:bCs/>
                                      </w:rPr>
                                    </w:pPr>
                                    <w:bookmarkStart w:id="0" w:name="_Hlk189206252"/>
                                    <w:bookmarkEnd w:id="0"/>
                                  </w:p>
                                </w:tc>
                              </w:tr>
                            </w:tbl>
                            <w:p w14:paraId="6ECDDD33" w14:textId="77777777" w:rsidR="00B349DA" w:rsidRPr="00B349DA" w:rsidRDefault="00B349DA" w:rsidP="00B349DA">
                              <w:pPr>
                                <w:pStyle w:val="NoSpacing"/>
                              </w:pPr>
                            </w:p>
                          </w:tc>
                        </w:tr>
                      </w:tbl>
                      <w:p w14:paraId="60A6926F" w14:textId="77777777" w:rsidR="00B349DA" w:rsidRPr="00B349DA" w:rsidRDefault="00B349DA" w:rsidP="00B349DA">
                        <w:pPr>
                          <w:pStyle w:val="NoSpacing"/>
                        </w:pPr>
                      </w:p>
                    </w:tc>
                  </w:tr>
                </w:tbl>
                <w:p w14:paraId="2410B966" w14:textId="77777777" w:rsidR="00B349DA" w:rsidRPr="00B349DA" w:rsidRDefault="00B349DA" w:rsidP="00B349DA">
                  <w:pPr>
                    <w:pStyle w:val="NoSpacing"/>
                  </w:pPr>
                </w:p>
              </w:tc>
            </w:tr>
          </w:tbl>
          <w:p w14:paraId="514987F3" w14:textId="77777777" w:rsidR="00B349DA" w:rsidRPr="00B349DA" w:rsidRDefault="00B349DA" w:rsidP="00B349DA">
            <w:pPr>
              <w:pStyle w:val="NoSpacing"/>
            </w:pPr>
          </w:p>
        </w:tc>
      </w:tr>
      <w:tr w:rsidR="00B349DA" w:rsidRPr="00B349DA" w14:paraId="657F3F36" w14:textId="77777777" w:rsidTr="00B349DA">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B349DA" w:rsidRPr="00B349DA" w14:paraId="6909218F"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B349DA" w:rsidRPr="00B349DA" w14:paraId="3FCC94E0" w14:textId="77777777">
                    <w:tc>
                      <w:tcPr>
                        <w:tcW w:w="0" w:type="auto"/>
                        <w:hideMark/>
                      </w:tcPr>
                      <w:p w14:paraId="22916B42" w14:textId="4F6F47B0" w:rsidR="00B349DA" w:rsidRPr="00B349DA" w:rsidRDefault="00B349DA" w:rsidP="00B349DA">
                        <w:pPr>
                          <w:pStyle w:val="NoSpacing"/>
                        </w:pPr>
                        <w:r w:rsidRPr="00B349DA">
                          <w:lastRenderedPageBreak/>
                          <w:drawing>
                            <wp:inline distT="0" distB="0" distL="0" distR="0" wp14:anchorId="6BC21604" wp14:editId="1C8257CE">
                              <wp:extent cx="5705475" cy="685800"/>
                              <wp:effectExtent l="0" t="0" r="9525" b="0"/>
                              <wp:docPr id="3822939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05475" cy="685800"/>
                                      </a:xfrm>
                                      <a:prstGeom prst="rect">
                                        <a:avLst/>
                                      </a:prstGeom>
                                      <a:noFill/>
                                      <a:ln>
                                        <a:noFill/>
                                      </a:ln>
                                    </pic:spPr>
                                  </pic:pic>
                                </a:graphicData>
                              </a:graphic>
                            </wp:inline>
                          </w:drawing>
                        </w:r>
                      </w:p>
                    </w:tc>
                  </w:tr>
                </w:tbl>
                <w:p w14:paraId="26781D4F" w14:textId="77777777" w:rsidR="00B349DA" w:rsidRPr="00B349DA" w:rsidRDefault="00B349DA" w:rsidP="00B349DA">
                  <w:pPr>
                    <w:pStyle w:val="NoSpacing"/>
                  </w:pPr>
                </w:p>
              </w:tc>
            </w:tr>
          </w:tbl>
          <w:p w14:paraId="1E595E31" w14:textId="77777777" w:rsidR="00B349DA" w:rsidRPr="00B349DA" w:rsidRDefault="00B349DA" w:rsidP="00B349DA">
            <w:pPr>
              <w:pStyle w:val="NoSpacing"/>
            </w:pPr>
          </w:p>
        </w:tc>
      </w:tr>
    </w:tbl>
    <w:p w14:paraId="3128E494" w14:textId="77777777" w:rsidR="00B349DA" w:rsidRDefault="00B349DA" w:rsidP="00B349DA">
      <w:pPr>
        <w:pStyle w:val="NoSpacing"/>
      </w:pPr>
    </w:p>
    <w:sectPr w:rsidR="00B34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948EA"/>
    <w:multiLevelType w:val="multilevel"/>
    <w:tmpl w:val="F788B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2560328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DA"/>
    <w:rsid w:val="004D0752"/>
    <w:rsid w:val="00843CD8"/>
    <w:rsid w:val="008D4076"/>
    <w:rsid w:val="00B349DA"/>
    <w:rsid w:val="00E77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17AC6"/>
  <w15:chartTrackingRefBased/>
  <w15:docId w15:val="{B922B77E-E0B3-497A-BD22-7A7414D0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49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49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49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49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49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49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49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49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49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9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49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49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49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49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49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49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49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49DA"/>
    <w:rPr>
      <w:rFonts w:eastAsiaTheme="majorEastAsia" w:cstheme="majorBidi"/>
      <w:color w:val="272727" w:themeColor="text1" w:themeTint="D8"/>
    </w:rPr>
  </w:style>
  <w:style w:type="paragraph" w:styleId="Title">
    <w:name w:val="Title"/>
    <w:basedOn w:val="Normal"/>
    <w:next w:val="Normal"/>
    <w:link w:val="TitleChar"/>
    <w:uiPriority w:val="10"/>
    <w:qFormat/>
    <w:rsid w:val="00B349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9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49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49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49DA"/>
    <w:pPr>
      <w:spacing w:before="160"/>
      <w:jc w:val="center"/>
    </w:pPr>
    <w:rPr>
      <w:i/>
      <w:iCs/>
      <w:color w:val="404040" w:themeColor="text1" w:themeTint="BF"/>
    </w:rPr>
  </w:style>
  <w:style w:type="character" w:customStyle="1" w:styleId="QuoteChar">
    <w:name w:val="Quote Char"/>
    <w:basedOn w:val="DefaultParagraphFont"/>
    <w:link w:val="Quote"/>
    <w:uiPriority w:val="29"/>
    <w:rsid w:val="00B349DA"/>
    <w:rPr>
      <w:i/>
      <w:iCs/>
      <w:color w:val="404040" w:themeColor="text1" w:themeTint="BF"/>
    </w:rPr>
  </w:style>
  <w:style w:type="paragraph" w:styleId="ListParagraph">
    <w:name w:val="List Paragraph"/>
    <w:basedOn w:val="Normal"/>
    <w:uiPriority w:val="34"/>
    <w:qFormat/>
    <w:rsid w:val="00B349DA"/>
    <w:pPr>
      <w:ind w:left="720"/>
      <w:contextualSpacing/>
    </w:pPr>
  </w:style>
  <w:style w:type="character" w:styleId="IntenseEmphasis">
    <w:name w:val="Intense Emphasis"/>
    <w:basedOn w:val="DefaultParagraphFont"/>
    <w:uiPriority w:val="21"/>
    <w:qFormat/>
    <w:rsid w:val="00B349DA"/>
    <w:rPr>
      <w:i/>
      <w:iCs/>
      <w:color w:val="0F4761" w:themeColor="accent1" w:themeShade="BF"/>
    </w:rPr>
  </w:style>
  <w:style w:type="paragraph" w:styleId="IntenseQuote">
    <w:name w:val="Intense Quote"/>
    <w:basedOn w:val="Normal"/>
    <w:next w:val="Normal"/>
    <w:link w:val="IntenseQuoteChar"/>
    <w:uiPriority w:val="30"/>
    <w:qFormat/>
    <w:rsid w:val="00B349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49DA"/>
    <w:rPr>
      <w:i/>
      <w:iCs/>
      <w:color w:val="0F4761" w:themeColor="accent1" w:themeShade="BF"/>
    </w:rPr>
  </w:style>
  <w:style w:type="character" w:styleId="IntenseReference">
    <w:name w:val="Intense Reference"/>
    <w:basedOn w:val="DefaultParagraphFont"/>
    <w:uiPriority w:val="32"/>
    <w:qFormat/>
    <w:rsid w:val="00B349DA"/>
    <w:rPr>
      <w:b/>
      <w:bCs/>
      <w:smallCaps/>
      <w:color w:val="0F4761" w:themeColor="accent1" w:themeShade="BF"/>
      <w:spacing w:val="5"/>
    </w:rPr>
  </w:style>
  <w:style w:type="paragraph" w:styleId="NoSpacing">
    <w:name w:val="No Spacing"/>
    <w:uiPriority w:val="1"/>
    <w:qFormat/>
    <w:rsid w:val="00B349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8822715">
      <w:bodyDiv w:val="1"/>
      <w:marLeft w:val="0"/>
      <w:marRight w:val="0"/>
      <w:marTop w:val="0"/>
      <w:marBottom w:val="0"/>
      <w:divBdr>
        <w:top w:val="none" w:sz="0" w:space="0" w:color="auto"/>
        <w:left w:val="none" w:sz="0" w:space="0" w:color="auto"/>
        <w:bottom w:val="none" w:sz="0" w:space="0" w:color="auto"/>
        <w:right w:val="none" w:sz="0" w:space="0" w:color="auto"/>
      </w:divBdr>
    </w:div>
    <w:div w:id="206421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B5D00.5712BAB0"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B5D00.5712BAB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Smithson, Janet</dc:creator>
  <cp:keywords/>
  <dc:description/>
  <cp:lastModifiedBy>Smithson, Janet</cp:lastModifiedBy>
  <cp:revision>1</cp:revision>
  <dcterms:created xsi:type="dcterms:W3CDTF">2025-08-01T14:39:00Z</dcterms:created>
  <dcterms:modified xsi:type="dcterms:W3CDTF">2025-08-01T14:43:00Z</dcterms:modified>
</cp:coreProperties>
</file>